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>
        <w:tblPrEx/>
        <w:trPr/>
        <w:tc>
          <w:tcPr>
            <w:gridSpan w:val="4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center"/>
            <w:textDirection w:val="lrTb"/>
            <w:noWrap w:val="false"/>
          </w:tcPr>
          <w:p>
            <w:pPr>
              <w:ind w:left="113" w:right="113"/>
              <w:jc w:val="center"/>
              <w:spacing w:before="20" w:after="2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</w:rPr>
      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  <w:r>
              <w:rPr>
                <w:b/>
                <w:bCs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4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spacing w:before="20"/>
            </w:pPr>
            <w:r>
              <w:t xml:space="preserve"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  <w:r/>
          </w:p>
        </w:tc>
      </w:tr>
      <w:tr>
        <w:tblPrEx/>
        <w:trPr/>
        <w:tc>
          <w:tcPr>
            <w:gridSpan w:val="26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572" w:type="dxa"/>
            <w:vAlign w:val="bottom"/>
            <w:textDirection w:val="lrTb"/>
            <w:noWrap w:val="false"/>
          </w:tcPr>
          <w:p>
            <w:pPr>
              <w:ind w:left="170"/>
            </w:pPr>
            <w:r>
              <w:t xml:space="preserve">субъект Российской Феде</w:t>
            </w:r>
            <w:bookmarkStart w:id="0" w:name="_GoBack"/>
            <w:r/>
            <w:bookmarkEnd w:id="0"/>
            <w:r>
              <w:t xml:space="preserve">рации</w:t>
            </w:r>
            <w:r/>
          </w:p>
        </w:tc>
        <w:tc>
          <w:tcPr>
            <w:gridSpan w:val="1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152" w:type="dxa"/>
            <w:vAlign w:val="bottom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Смоленская область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232" w:type="dxa"/>
            <w:vAlign w:val="bottom"/>
            <w:textDirection w:val="lrTb"/>
            <w:noWrap w:val="false"/>
          </w:tcPr>
          <w:p>
            <w:pPr>
              <w:ind w:left="170"/>
            </w:pPr>
            <w:r>
              <w:t xml:space="preserve">муниципальное образование</w:t>
            </w:r>
            <w:r/>
          </w:p>
        </w:tc>
        <w:tc>
          <w:tcPr>
            <w:gridSpan w:val="1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492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 xml:space="preserve">ий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55" w:type="dxa"/>
            <w:vAlign w:val="center"/>
            <w:textDirection w:val="lrTb"/>
            <w:noWrap w:val="false"/>
          </w:tcPr>
          <w:p>
            <w:pPr>
              <w:ind w:left="170"/>
            </w:pPr>
            <w:r/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569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Ковальки, д. Полячки, д. Слобода, д. Кочаны, д. </w:t>
            </w:r>
            <w:r>
              <w:rPr>
                <w:b/>
                <w:sz w:val="22"/>
                <w:szCs w:val="22"/>
              </w:rPr>
              <w:t xml:space="preserve">Холодилы</w:t>
            </w:r>
            <w:r>
              <w:rPr>
                <w:b/>
                <w:sz w:val="22"/>
                <w:szCs w:val="22"/>
              </w:rPr>
              <w:t xml:space="preserve">, д. </w:t>
            </w:r>
            <w:r>
              <w:rPr>
                <w:b/>
                <w:sz w:val="22"/>
                <w:szCs w:val="22"/>
              </w:rPr>
              <w:t xml:space="preserve">Шалуди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55" w:type="dxa"/>
            <w:vAlign w:val="bottom"/>
            <w:textDirection w:val="lrTb"/>
            <w:noWrap w:val="false"/>
          </w:tcPr>
          <w:p>
            <w:pPr>
              <w:ind w:left="170"/>
            </w:pPr>
            <w:r/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569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</w:t>
            </w:r>
            <w:r>
              <w:rPr>
                <w:b/>
                <w:sz w:val="22"/>
                <w:szCs w:val="22"/>
              </w:rPr>
              <w:t xml:space="preserve">Тетерьки</w:t>
            </w:r>
            <w:r>
              <w:rPr>
                <w:b/>
                <w:sz w:val="22"/>
                <w:szCs w:val="22"/>
              </w:rPr>
              <w:t xml:space="preserve">, д. Борок, д. </w:t>
            </w:r>
            <w:r>
              <w:rPr>
                <w:b/>
                <w:sz w:val="22"/>
                <w:szCs w:val="22"/>
              </w:rPr>
              <w:t xml:space="preserve">Щекуны</w:t>
            </w:r>
            <w:r>
              <w:rPr>
                <w:b/>
                <w:sz w:val="22"/>
                <w:szCs w:val="22"/>
              </w:rPr>
              <w:t xml:space="preserve">, д. Черняны, д. </w:t>
            </w:r>
            <w:r>
              <w:rPr>
                <w:b/>
                <w:sz w:val="22"/>
                <w:szCs w:val="22"/>
              </w:rPr>
              <w:t xml:space="preserve">Перегорши</w:t>
            </w:r>
            <w:r>
              <w:rPr>
                <w:b/>
                <w:sz w:val="22"/>
                <w:szCs w:val="22"/>
              </w:rPr>
              <w:t xml:space="preserve">, д. </w:t>
            </w:r>
            <w:r>
              <w:rPr>
                <w:b/>
                <w:sz w:val="22"/>
                <w:szCs w:val="22"/>
              </w:rPr>
              <w:t xml:space="preserve">Рытино</w:t>
            </w:r>
            <w:r>
              <w:rPr>
                <w:b/>
                <w:sz w:val="22"/>
                <w:szCs w:val="22"/>
              </w:rPr>
              <w:t xml:space="preserve">,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55" w:type="dxa"/>
            <w:vAlign w:val="bottom"/>
            <w:textDirection w:val="lrTb"/>
            <w:noWrap w:val="false"/>
          </w:tcPr>
          <w:p>
            <w:pPr>
              <w:ind w:left="170"/>
            </w:pPr>
            <w:r>
              <w:t xml:space="preserve">населенный пункт</w:t>
            </w:r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569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</w:t>
            </w:r>
            <w:r>
              <w:rPr>
                <w:b/>
                <w:sz w:val="22"/>
                <w:szCs w:val="22"/>
              </w:rPr>
              <w:t xml:space="preserve">Горбуны, д. </w:t>
            </w:r>
            <w:r>
              <w:rPr>
                <w:b/>
                <w:sz w:val="22"/>
                <w:szCs w:val="22"/>
              </w:rPr>
              <w:t xml:space="preserve">Новосельский</w:t>
            </w:r>
            <w:r>
              <w:rPr>
                <w:b/>
                <w:sz w:val="22"/>
                <w:szCs w:val="22"/>
              </w:rPr>
              <w:t xml:space="preserve">,</w:t>
            </w:r>
            <w:r>
              <w:rPr>
                <w:b/>
                <w:sz w:val="22"/>
                <w:szCs w:val="22"/>
              </w:rPr>
              <w:t xml:space="preserve"> д. </w:t>
            </w:r>
            <w:r>
              <w:rPr>
                <w:b/>
                <w:sz w:val="22"/>
                <w:szCs w:val="22"/>
              </w:rPr>
              <w:t xml:space="preserve">Агапоново</w:t>
            </w:r>
            <w:r>
              <w:rPr>
                <w:b/>
                <w:sz w:val="22"/>
                <w:szCs w:val="22"/>
              </w:rPr>
              <w:t xml:space="preserve">, д. </w:t>
            </w:r>
            <w:r>
              <w:rPr>
                <w:b/>
                <w:sz w:val="22"/>
                <w:szCs w:val="22"/>
              </w:rPr>
              <w:t xml:space="preserve">Ольховики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55" w:type="dxa"/>
            <w:vAlign w:val="bottom"/>
            <w:textDirection w:val="lrTb"/>
            <w:noWrap w:val="false"/>
          </w:tcPr>
          <w:p>
            <w:pPr>
              <w:ind w:left="170"/>
            </w:pPr>
            <w:r/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569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</w:t>
            </w:r>
            <w:r>
              <w:rPr>
                <w:b/>
                <w:sz w:val="22"/>
                <w:szCs w:val="22"/>
              </w:rPr>
              <w:t xml:space="preserve">Новая Деревня,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д. Новое </w:t>
            </w:r>
            <w:r>
              <w:rPr>
                <w:b/>
                <w:sz w:val="22"/>
                <w:szCs w:val="22"/>
              </w:rPr>
              <w:t xml:space="preserve">Корявино</w:t>
            </w:r>
            <w:r>
              <w:rPr>
                <w:b/>
                <w:sz w:val="22"/>
                <w:szCs w:val="22"/>
              </w:rPr>
              <w:t xml:space="preserve">, д. Старое </w:t>
            </w:r>
            <w:r>
              <w:rPr>
                <w:b/>
                <w:sz w:val="22"/>
                <w:szCs w:val="22"/>
              </w:rPr>
              <w:t xml:space="preserve">Корявино</w:t>
            </w:r>
            <w:r>
              <w:rPr>
                <w:b/>
                <w:sz w:val="22"/>
                <w:szCs w:val="22"/>
              </w:rPr>
              <w:t xml:space="preserve">, д. Рязаново,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55" w:type="dxa"/>
            <w:vAlign w:val="bottom"/>
            <w:textDirection w:val="lrTb"/>
            <w:noWrap w:val="false"/>
          </w:tcPr>
          <w:p>
            <w:pPr>
              <w:ind w:left="170"/>
            </w:pPr>
            <w:r/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569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</w:t>
            </w:r>
            <w:r>
              <w:rPr>
                <w:b/>
                <w:sz w:val="22"/>
                <w:szCs w:val="22"/>
              </w:rPr>
              <w:t xml:space="preserve">Макруха</w:t>
            </w:r>
            <w:r>
              <w:rPr>
                <w:b/>
                <w:sz w:val="22"/>
                <w:szCs w:val="22"/>
              </w:rPr>
              <w:t xml:space="preserve">,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д. </w:t>
            </w:r>
            <w:r>
              <w:rPr>
                <w:b/>
                <w:sz w:val="22"/>
                <w:szCs w:val="22"/>
              </w:rPr>
              <w:t xml:space="preserve">Гусино, д. Высокий Холм, д. </w:t>
            </w:r>
            <w:r>
              <w:rPr>
                <w:b/>
                <w:sz w:val="22"/>
                <w:szCs w:val="22"/>
              </w:rPr>
              <w:t xml:space="preserve">Коробино</w:t>
            </w:r>
            <w:r>
              <w:rPr>
                <w:b/>
                <w:sz w:val="22"/>
                <w:szCs w:val="22"/>
              </w:rPr>
              <w:t xml:space="preserve">, д. </w:t>
            </w:r>
            <w:r>
              <w:rPr>
                <w:b/>
                <w:sz w:val="22"/>
                <w:szCs w:val="22"/>
              </w:rPr>
              <w:t xml:space="preserve">Забревица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155" w:type="dxa"/>
            <w:vAlign w:val="bottom"/>
            <w:textDirection w:val="lrTb"/>
            <w:noWrap w:val="false"/>
          </w:tcPr>
          <w:p>
            <w:pPr>
              <w:ind w:left="170"/>
            </w:pPr>
            <w:r/>
            <w:r/>
          </w:p>
        </w:tc>
        <w:tc>
          <w:tcPr>
            <w:gridSpan w:val="2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569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д. Власова </w:t>
            </w:r>
            <w:r>
              <w:rPr>
                <w:b/>
                <w:sz w:val="22"/>
                <w:szCs w:val="22"/>
              </w:rPr>
              <w:t xml:space="preserve">Слобода</w:t>
            </w:r>
            <w:r>
              <w:rPr>
                <w:b/>
                <w:sz w:val="22"/>
                <w:szCs w:val="22"/>
              </w:rPr>
              <w:t xml:space="preserve">,д</w:t>
            </w:r>
            <w:r>
              <w:rPr>
                <w:b/>
                <w:sz w:val="22"/>
                <w:szCs w:val="22"/>
              </w:rPr>
              <w:t xml:space="preserve">. Алексеевка, д. Ковалевка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130"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center"/>
            <w:textDirection w:val="lrTb"/>
            <w:noWrap w:val="false"/>
          </w:tcPr>
          <w:p>
            <w:pPr>
              <w:ind w:left="170" w:right="170"/>
              <w:jc w:val="both"/>
              <w:spacing w:before="40"/>
            </w:pPr>
            <w:r>
              <w:t xml:space="preserve">№ кадастрового квартала (нескольких смежных кадастровых кварталов):</w:t>
            </w:r>
            <w:r>
              <w:t xml:space="preserve"> </w:t>
            </w:r>
            <w:r>
              <w:rPr>
                <w:b/>
                <w:bCs/>
                <w:szCs w:val="24"/>
              </w:rPr>
              <w:t xml:space="preserve">67:18:0051101; 67:18:0052401; </w:t>
            </w:r>
            <w:r/>
          </w:p>
          <w:p>
            <w:pPr>
              <w:spacing w:line="360" w:lineRule="atLeast"/>
              <w:shd w:val="clear" w:color="auto" w:fill="ffffff"/>
              <w:rPr>
                <w:b/>
                <w:bCs/>
                <w:szCs w:val="24"/>
              </w:rPr>
              <w:outlineLvl w:val="1"/>
            </w:pPr>
            <w:r>
              <w:rPr>
                <w:b/>
                <w:bCs/>
                <w:szCs w:val="24"/>
              </w:rPr>
              <w:t xml:space="preserve">67:18:0052501; 67:18:0061201; 67:18:0062501; 67:18:0062601; 67:18:0064001;</w:t>
            </w:r>
            <w:r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67:18:0064101; 67:18:0190101; </w:t>
            </w:r>
            <w:r>
              <w:rPr>
                <w:b/>
                <w:bCs/>
                <w:szCs w:val="24"/>
              </w:rPr>
            </w:r>
          </w:p>
          <w:p>
            <w:pPr>
              <w:spacing w:line="360" w:lineRule="atLeast"/>
              <w:shd w:val="clear" w:color="auto" w:fill="ffffff"/>
              <w:rPr>
                <w:b/>
                <w:bCs/>
                <w:szCs w:val="24"/>
              </w:rPr>
              <w:outlineLvl w:val="1"/>
            </w:pPr>
            <w:r>
              <w:rPr>
                <w:b/>
                <w:bCs/>
                <w:szCs w:val="24"/>
              </w:rPr>
              <w:t xml:space="preserve">67:18:0210101; 67:18:0220101; 67:18:0230101; 67:18:0260101; 67:18:0280101; 67:18:0290101; 67:18:0300101;</w:t>
            </w:r>
            <w:r>
              <w:rPr>
                <w:b/>
                <w:bCs/>
                <w:szCs w:val="24"/>
              </w:rPr>
            </w:r>
          </w:p>
          <w:p>
            <w:pPr>
              <w:spacing w:line="360" w:lineRule="atLeast"/>
              <w:shd w:val="clear" w:color="auto" w:fill="ffffff"/>
              <w:rPr>
                <w:b/>
                <w:color w:val="333333"/>
              </w:rPr>
              <w:outlineLvl w:val="1"/>
            </w:pPr>
            <w:r>
              <w:rPr>
                <w:b/>
                <w:bCs/>
                <w:szCs w:val="24"/>
              </w:rPr>
              <w:t xml:space="preserve">67:18:0310101; 67:18:0320101; 67:18:0330101; 67:18:0510101; 67:18:0530101; 67:18:0540101; 67:18:2140101;</w:t>
            </w:r>
            <w:r>
              <w:rPr>
                <w:b/>
                <w:color w:val="333333"/>
              </w:rPr>
            </w:r>
          </w:p>
          <w:p>
            <w:pPr>
              <w:spacing w:line="360" w:lineRule="atLeast"/>
              <w:shd w:val="clear" w:color="auto" w:fill="ffffff"/>
              <w:rPr>
                <w:b/>
                <w:color w:val="333333"/>
              </w:rPr>
              <w:outlineLvl w:val="1"/>
            </w:pPr>
            <w:r>
              <w:rPr>
                <w:b/>
                <w:bCs/>
                <w:szCs w:val="24"/>
              </w:rPr>
              <w:t xml:space="preserve">67:18:2150101; 67:18:2160101; 67:18:2170101; 67:18:2180101; 67:18:2730101; 67:18:2780101; 67:18:2790101;</w:t>
            </w:r>
            <w:r>
              <w:rPr>
                <w:b/>
                <w:color w:val="333333"/>
              </w:rPr>
            </w:r>
          </w:p>
          <w:p>
            <w:pPr>
              <w:spacing w:line="360" w:lineRule="atLeast"/>
              <w:shd w:val="clear" w:color="auto" w:fill="ffffff"/>
              <w:rPr>
                <w:b/>
                <w:bCs/>
                <w:szCs w:val="24"/>
              </w:rPr>
              <w:outlineLvl w:val="1"/>
            </w:pPr>
            <w:r>
              <w:rPr>
                <w:b/>
                <w:bCs/>
                <w:szCs w:val="24"/>
              </w:rPr>
              <w:t xml:space="preserve">67:18:2810101; 67:18:2880101; 67:18:2890101; 67:18:2910101; 67:18:3050101</w:t>
            </w:r>
            <w:r>
              <w:rPr>
                <w:b/>
                <w:bCs/>
                <w:szCs w:val="24"/>
              </w:rPr>
            </w:r>
          </w:p>
          <w:p>
            <w:pPr>
              <w:jc w:val="center"/>
            </w:pPr>
            <w:r/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color w:val="333333"/>
              </w:rPr>
              <w:t xml:space="preserve">СТ</w:t>
            </w:r>
            <w:r>
              <w:rPr>
                <w:b/>
                <w:color w:val="333333"/>
              </w:rPr>
              <w:t xml:space="preserve"> «Вишенки» (Автобаза Мэрии), СТ «Вишенки» (Электроламповый завод), СТ «Сирень», СТ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color w:val="333333"/>
              </w:rPr>
              <w:t xml:space="preserve">«Водник», </w:t>
            </w:r>
            <w:r>
              <w:rPr>
                <w:b/>
                <w:color w:val="333333"/>
              </w:rPr>
              <w:t xml:space="preserve">СТ</w:t>
            </w:r>
            <w:r>
              <w:rPr>
                <w:b/>
                <w:color w:val="333333"/>
              </w:rPr>
              <w:t xml:space="preserve"> «Соколья гора», СТ «Дорожник», СТ «Надежда», СТ «Горяны»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r/>
            <w:r/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0" w:type="dxa"/>
            <w:textDirection w:val="lrTb"/>
            <w:noWrap w:val="false"/>
          </w:tcPr>
          <w:p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 xml:space="preserve">ККР</w:t>
            </w:r>
            <w:r>
              <w:rPr>
                <w:i/>
                <w:iCs/>
                <w:sz w:val="18"/>
                <w:szCs w:val="18"/>
              </w:rPr>
              <w:t xml:space="preserve">)</w:t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/>
              <w:spacing w:after="2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>
              <w:rPr>
                <w:szCs w:val="24"/>
              </w:rPr>
              <w:t xml:space="preserve">соответствии с </w:t>
            </w:r>
            <w:r>
              <w:rPr>
                <w:szCs w:val="24"/>
              </w:rPr>
              <w:t xml:space="preserve"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  <w:r>
              <w:rPr>
                <w:szCs w:val="24"/>
              </w:rPr>
            </w:r>
          </w:p>
          <w:p>
            <w:pPr>
              <w:ind w:left="170" w:right="170"/>
              <w:spacing w:after="20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в форме субсидий, юридическим лицам, индивидуальным предпринимателям, а также физическим лицам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5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465" w:type="dxa"/>
            <w:vAlign w:val="bottom"/>
            <w:textDirection w:val="lrTb"/>
            <w:noWrap w:val="false"/>
          </w:tcPr>
          <w:p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" w:type="dxa"/>
            <w:vAlign w:val="bottom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30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7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1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января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2025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2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г</w:t>
            </w:r>
            <w:r>
              <w:rPr>
                <w:b/>
                <w:sz w:val="23"/>
                <w:szCs w:val="23"/>
              </w:rPr>
              <w:t xml:space="preserve">. №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3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321-20-2025-002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175" w:type="dxa"/>
            <w:vAlign w:val="bottom"/>
            <w:textDirection w:val="lrTb"/>
            <w:noWrap w:val="false"/>
          </w:tcPr>
          <w:p>
            <w:r>
              <w:t xml:space="preserve">выполняются комплексные</w:t>
            </w:r>
            <w:r/>
          </w:p>
        </w:tc>
      </w:tr>
      <w:tr>
        <w:tblPrEx/>
        <w:trPr/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/>
            </w:pPr>
            <w:r>
              <w:t xml:space="preserve">кадастровые работы</w:t>
            </w:r>
            <w:r>
              <w:t xml:space="preserve"> федерального значения</w:t>
            </w:r>
            <w:r>
              <w:t xml:space="preserve">.</w:t>
            </w:r>
            <w:r/>
          </w:p>
        </w:tc>
      </w:tr>
      <w:tr>
        <w:tblPrEx/>
        <w:trPr/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</w:pPr>
            <w:r>
              <w:t xml:space="preserve"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214019, г. Смоленск, проезд Маршала Конева, д. 28Е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r/>
            <w:r/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0" w:type="dxa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работы согласительной комиссии)</w:t>
            </w:r>
            <w:r>
              <w:rPr>
                <w:i/>
                <w:iCs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или на официальных сайтах в информационно-телекоммуникационной сети «Интернет»: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муниципального образования «Смоленский муниципальный округ» Смоленской области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http://smol-ray.ru/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Министерство имущественных и земельных отношений Смоленской области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7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https://depim.admin-smolensk.ru/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3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textDirection w:val="lrTb"/>
            <w:noWrap w:val="false"/>
          </w:tcPr>
          <w:p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</w:r>
            <w:r>
              <w:rPr>
                <w:i/>
                <w:iCs/>
                <w:sz w:val="18"/>
                <w:szCs w:val="1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71" w:type="dxa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сайта)</w:t>
            </w:r>
            <w:r>
              <w:rPr>
                <w:i/>
                <w:i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Управление Росреестра по Смоленской области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7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https://rosreestr.ru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3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70" w:type="dxa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(Наименование органа кадастрового учета)</w:t>
            </w:r>
            <w:r>
              <w:rPr>
                <w:i/>
                <w:i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71" w:type="dxa"/>
            <w:textDirection w:val="lrTb"/>
            <w:noWrap w:val="false"/>
          </w:tcPr>
          <w:p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(Адрес сайта)</w:t>
            </w:r>
            <w:r>
              <w:rPr>
                <w:i/>
                <w:i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256" w:type="dxa"/>
            <w:textDirection w:val="lrTb"/>
            <w:noWrap w:val="false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/>
        <w:trPr>
          <w:cantSplit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</w:pPr>
            <w: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/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67:18:0051101; 67:18:0052401; 67:18:0052501; 67:18:0061201; 67:18:0062501; 67:18:0062601; 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67:18:0064001; 67:18:0064101; 67:18:0190101; 67:18:0210101; 67:18:0220101; 67:18:0230101;</w:t>
            </w:r>
            <w:r>
              <w:rPr>
                <w:b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67:18:0260101; 67:18:0280101; 67:18:0290101; 67:18:0300101; 67:18:0310101; 67:18:0320101;</w:t>
            </w:r>
            <w:r>
              <w:rPr>
                <w:b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67:18:0330101; 67:18:0510101; 67:18:0530101; 67:18:0540101; 67:18:2140101; 67:18:2150101;</w:t>
            </w:r>
            <w:r>
              <w:rPr>
                <w:b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67:18:2160101; 67:18:2170101; 67:18:2180101; 67:18:2730101; 67:18:2780101; 67:18:2790101;</w:t>
            </w:r>
            <w:r>
              <w:rPr>
                <w:b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9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9640" w:type="dxa"/>
            <w:vAlign w:val="bottom"/>
            <w:textDirection w:val="lrTb"/>
            <w:noWrap w:val="false"/>
          </w:tcPr>
          <w:p>
            <w:pPr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67:18:2810101; 67:18:2880101; 67:18:2890101; 67:18:2910101; 67:18:3050101</w:t>
            </w:r>
            <w:r>
              <w:rPr>
                <w:b/>
                <w:color w:val="333333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18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438" w:type="dxa"/>
            <w:vAlign w:val="bottom"/>
            <w:textDirection w:val="lrTb"/>
            <w:noWrap w:val="false"/>
          </w:tcPr>
          <w:p>
            <w:pPr>
              <w:ind w:left="170"/>
              <w:rPr>
                <w:szCs w:val="24"/>
              </w:rPr>
            </w:pPr>
            <w:r>
              <w:rPr>
                <w:szCs w:val="24"/>
              </w:rPr>
              <w:t xml:space="preserve">состоится</w:t>
            </w:r>
            <w:r>
              <w:rPr>
                <w:szCs w:val="24"/>
              </w:rPr>
              <w:t xml:space="preserve"> по адресу</w:t>
            </w:r>
            <w:r>
              <w:rPr>
                <w:szCs w:val="24"/>
              </w:rPr>
              <w:t xml:space="preserve">:</w:t>
            </w:r>
            <w:r>
              <w:rPr>
                <w:szCs w:val="24"/>
              </w:rPr>
            </w:r>
          </w:p>
        </w:tc>
        <w:tc>
          <w:tcPr>
            <w:gridSpan w:val="2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72" w:type="dxa"/>
            <w:vAlign w:val="bottom"/>
            <w:textDirection w:val="lrTb"/>
            <w:noWrap w:val="false"/>
          </w:tcPr>
          <w:p>
            <w:pPr>
              <w:rPr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 xml:space="preserve">214019, г. Смоленск, проезд Маршала Конева, д. 28Е</w:t>
            </w:r>
            <w:r>
              <w:rPr>
                <w:sz w:val="21"/>
                <w:szCs w:val="2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70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“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23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”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июня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202</w:t>
            </w:r>
            <w:r>
              <w:rPr>
                <w:b/>
                <w:bCs/>
                <w:szCs w:val="24"/>
              </w:rPr>
              <w:t xml:space="preserve">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г. в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7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</w:t>
            </w:r>
            <w:r>
              <w:rPr>
                <w:b/>
                <w:bCs/>
                <w:szCs w:val="24"/>
              </w:rPr>
              <w:t xml:space="preserve">4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часов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</w:t>
            </w:r>
            <w:r>
              <w:rPr>
                <w:b/>
                <w:bCs/>
                <w:szCs w:val="24"/>
              </w:rPr>
              <w:t xml:space="preserve">0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480" w:type="dxa"/>
            <w:vAlign w:val="bottom"/>
            <w:textDirection w:val="lrTb"/>
            <w:noWrap w:val="false"/>
          </w:tcPr>
          <w:p>
            <w:pPr>
              <w:ind w:left="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минут.</w:t>
            </w:r>
            <w:r>
              <w:rPr>
                <w:b/>
                <w:bCs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</w:pPr>
            <w:r>
              <w:rPr>
                <w:szCs w:val="24"/>
              </w:rPr>
              <w:t xml:space="preserve">Повторное заседание согласительной комиссии по вопросу согласования местоположения границ земельных участков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по адресу:  </w:t>
            </w:r>
            <w:r>
              <w:rPr>
                <w:b/>
                <w:sz w:val="22"/>
                <w:szCs w:val="22"/>
                <w:u w:val="single"/>
              </w:rPr>
              <w:t xml:space="preserve">214019, г. Смоленск, проезд Маршала Конева, д. 28Е</w:t>
            </w:r>
            <w:r>
              <w:rPr>
                <w:szCs w:val="24"/>
              </w:rPr>
              <w:t xml:space="preserve"> 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4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“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29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1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”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июля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202</w:t>
            </w:r>
            <w:r>
              <w:rPr>
                <w:b/>
                <w:bCs/>
                <w:szCs w:val="24"/>
              </w:rPr>
              <w:t xml:space="preserve">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г. в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7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</w:t>
            </w:r>
            <w:r>
              <w:rPr>
                <w:b/>
                <w:bCs/>
                <w:szCs w:val="24"/>
              </w:rPr>
              <w:t xml:space="preserve">4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65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часов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0</w:t>
            </w:r>
            <w:r>
              <w:rPr>
                <w:b/>
                <w:bCs/>
                <w:szCs w:val="24"/>
              </w:rPr>
              <w:t xml:space="preserve">0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4480" w:type="dxa"/>
            <w:vAlign w:val="bottom"/>
            <w:textDirection w:val="lrTb"/>
            <w:noWrap w:val="false"/>
          </w:tcPr>
          <w:p>
            <w:pPr>
              <w:ind w:left="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минут.</w:t>
            </w:r>
            <w:r>
              <w:rPr>
                <w:b/>
                <w:bCs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</w:pPr>
            <w:r>
              <w:t xml:space="preserve"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  <w:r/>
          </w:p>
        </w:tc>
      </w:tr>
      <w:tr>
        <w:tblPrEx/>
        <w:trPr>
          <w:cantSplit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</w:pPr>
            <w:r>
              <w:t xml:space="preserve">Обоснованные в</w:t>
            </w:r>
            <w:r>
              <w:t xml:space="preserve">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  <w:r/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ind w:left="17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“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30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”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мая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202</w:t>
            </w:r>
            <w:r>
              <w:rPr>
                <w:b/>
                <w:bCs/>
                <w:szCs w:val="24"/>
              </w:rPr>
              <w:t xml:space="preserve">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г. по “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23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”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июня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202</w:t>
            </w:r>
            <w:r>
              <w:rPr>
                <w:b/>
                <w:bCs/>
                <w:szCs w:val="24"/>
              </w:rPr>
              <w:t xml:space="preserve">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376" w:type="dxa"/>
            <w:vAlign w:val="bottom"/>
            <w:textDirection w:val="lrTb"/>
            <w:noWrap w:val="false"/>
          </w:tcPr>
          <w:p>
            <w:pPr>
              <w:ind w:left="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г.</w:t>
            </w:r>
            <w:r>
              <w:rPr>
                <w:b/>
                <w:bCs/>
                <w:szCs w:val="24"/>
                <w:lang w:val="en-US"/>
              </w:rPr>
              <w:t xml:space="preserve"> </w:t>
            </w:r>
            <w:r>
              <w:rPr>
                <w:szCs w:val="24"/>
              </w:rPr>
              <w:t xml:space="preserve">и</w:t>
            </w:r>
            <w:r>
              <w:rPr>
                <w:b/>
                <w:bCs/>
                <w:szCs w:val="24"/>
              </w:rPr>
            </w:r>
          </w:p>
        </w:tc>
      </w:tr>
      <w:tr>
        <w:tblPrEx/>
        <w:trPr/>
        <w:tc>
          <w:tcPr>
            <w:gridSpan w:val="4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352" w:type="dxa"/>
            <w:vAlign w:val="bottom"/>
            <w:textDirection w:val="lrTb"/>
            <w:noWrap w:val="false"/>
          </w:tcPr>
          <w:p>
            <w:pPr>
              <w:ind w:left="17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7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“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23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”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июня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202</w:t>
            </w:r>
            <w:r>
              <w:rPr>
                <w:b/>
                <w:bCs/>
                <w:szCs w:val="24"/>
              </w:rPr>
              <w:t xml:space="preserve">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37" w:type="dxa"/>
            <w:vAlign w:val="bottom"/>
            <w:textDirection w:val="lrTb"/>
            <w:noWrap w:val="false"/>
          </w:tcPr>
          <w:p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г. по “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9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28</w:t>
            </w:r>
            <w:r>
              <w:rPr>
                <w:b/>
                <w:bCs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”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24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июля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6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202</w:t>
            </w:r>
            <w:r>
              <w:rPr>
                <w:b/>
                <w:bCs/>
                <w:szCs w:val="24"/>
              </w:rPr>
              <w:t xml:space="preserve">5</w:t>
            </w:r>
            <w:r>
              <w:rPr>
                <w:b/>
                <w:bCs/>
                <w:szCs w:val="24"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3376" w:type="dxa"/>
            <w:vAlign w:val="bottom"/>
            <w:textDirection w:val="lrTb"/>
            <w:noWrap w:val="false"/>
          </w:tcPr>
          <w:p>
            <w:pPr>
              <w:ind w:left="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</w:t>
            </w:r>
            <w:r>
              <w:rPr>
                <w:b/>
                <w:bCs/>
                <w:szCs w:val="24"/>
              </w:rPr>
              <w:t xml:space="preserve">.</w:t>
            </w:r>
            <w:r>
              <w:rPr>
                <w:b/>
                <w:bCs/>
                <w:szCs w:val="24"/>
              </w:rPr>
            </w:r>
          </w:p>
        </w:tc>
      </w:tr>
      <w:tr>
        <w:tblPrEx/>
        <w:trPr>
          <w:cantSplit/>
        </w:trPr>
        <w:tc>
          <w:tcPr>
            <w:gridSpan w:val="4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80" w:type="dxa"/>
            <w:vAlign w:val="bottom"/>
            <w:textDirection w:val="lrTb"/>
            <w:noWrap w:val="false"/>
          </w:tcPr>
          <w:p>
            <w:pPr>
              <w:ind w:left="170" w:right="170" w:firstLine="567"/>
              <w:jc w:val="both"/>
              <w:keepLines/>
              <w:spacing w:befor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>
              <w:rPr>
                <w:spacing w:val="-4"/>
                <w:sz w:val="18"/>
                <w:szCs w:val="18"/>
              </w:rPr>
              <w:t xml:space="preserve">включают в себя сведения о лице, направи</w:t>
            </w:r>
            <w:r>
              <w:rPr>
                <w:spacing w:val="-4"/>
                <w:sz w:val="18"/>
                <w:szCs w:val="18"/>
              </w:rPr>
              <w:t xml:space="preserve">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r>
              <w:rPr>
                <w:spacing w:val="-4"/>
                <w:sz w:val="18"/>
                <w:szCs w:val="18"/>
              </w:rPr>
              <w:t xml:space="preserve"> границы земельного участка, к</w:t>
            </w:r>
            <w:r>
              <w:rPr>
                <w:spacing w:val="-4"/>
                <w:sz w:val="18"/>
                <w:szCs w:val="18"/>
              </w:rPr>
              <w:t xml:space="preserve">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</w:t>
            </w:r>
            <w:r>
              <w:rPr>
                <w:spacing w:val="-4"/>
                <w:sz w:val="18"/>
                <w:szCs w:val="18"/>
              </w:rPr>
              <w:t xml:space="preserve">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  <w:r>
              <w:rPr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80" w:type="dxa"/>
            <w:textDirection w:val="lrTb"/>
            <w:noWrap w:val="false"/>
          </w:tcPr>
          <w:p>
            <w:pPr>
              <w:ind w:left="170" w:right="170" w:firstLine="567"/>
              <w:keepLine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случае отсутствия таких возражений местоположение границ земельных участков считается согласованным.</w:t>
            </w:r>
            <w:r>
              <w:rPr>
                <w:sz w:val="18"/>
                <w:szCs w:val="18"/>
              </w:rPr>
            </w:r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709" w:right="851" w:bottom="567" w:left="1134" w:header="397" w:footer="397" w:gutter="0"/>
      <w:cols w:num="1" w:sep="0" w:space="709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7"/>
    <w:next w:val="66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7"/>
    <w:next w:val="66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7"/>
    <w:next w:val="66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7"/>
    <w:next w:val="66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7"/>
    <w:next w:val="66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7"/>
    <w:next w:val="66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7"/>
    <w:next w:val="66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7"/>
    <w:next w:val="66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7"/>
    <w:next w:val="66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7"/>
    <w:next w:val="66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8"/>
    <w:link w:val="34"/>
    <w:uiPriority w:val="10"/>
    <w:rPr>
      <w:sz w:val="48"/>
      <w:szCs w:val="48"/>
    </w:rPr>
  </w:style>
  <w:style w:type="paragraph" w:styleId="36">
    <w:name w:val="Subtitle"/>
    <w:basedOn w:val="667"/>
    <w:next w:val="66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8"/>
    <w:link w:val="36"/>
    <w:uiPriority w:val="11"/>
    <w:rPr>
      <w:sz w:val="24"/>
      <w:szCs w:val="24"/>
    </w:rPr>
  </w:style>
  <w:style w:type="paragraph" w:styleId="38">
    <w:name w:val="Quote"/>
    <w:basedOn w:val="667"/>
    <w:next w:val="66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7"/>
    <w:next w:val="66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8"/>
    <w:link w:val="671"/>
    <w:uiPriority w:val="99"/>
  </w:style>
  <w:style w:type="paragraph" w:styleId="44">
    <w:name w:val="Footer"/>
    <w:basedOn w:val="66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8"/>
    <w:link w:val="44"/>
    <w:uiPriority w:val="99"/>
  </w:style>
  <w:style w:type="paragraph" w:styleId="46">
    <w:name w:val="Caption"/>
    <w:basedOn w:val="667"/>
    <w:next w:val="66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6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8"/>
    <w:uiPriority w:val="99"/>
    <w:unhideWhenUsed/>
    <w:rPr>
      <w:vertAlign w:val="superscript"/>
    </w:rPr>
  </w:style>
  <w:style w:type="paragraph" w:styleId="178">
    <w:name w:val="endnote text"/>
    <w:basedOn w:val="66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8"/>
    <w:uiPriority w:val="99"/>
    <w:semiHidden/>
    <w:unhideWhenUsed/>
    <w:rPr>
      <w:vertAlign w:val="superscript"/>
    </w:rPr>
  </w:style>
  <w:style w:type="paragraph" w:styleId="181">
    <w:name w:val="toc 1"/>
    <w:basedOn w:val="667"/>
    <w:next w:val="66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7"/>
    <w:next w:val="66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7"/>
    <w:next w:val="66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7"/>
    <w:next w:val="66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7"/>
    <w:next w:val="66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7"/>
    <w:next w:val="66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7"/>
    <w:next w:val="66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7"/>
    <w:next w:val="66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7"/>
    <w:next w:val="66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7"/>
    <w:next w:val="667"/>
    <w:uiPriority w:val="99"/>
    <w:unhideWhenUsed/>
    <w:pPr>
      <w:spacing w:after="0" w:afterAutospacing="0"/>
    </w:pPr>
  </w:style>
  <w:style w:type="paragraph" w:styleId="66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>
    <w:name w:val="Header"/>
    <w:basedOn w:val="667"/>
    <w:link w:val="672"/>
    <w:uiPriority w:val="99"/>
    <w:pPr>
      <w:tabs>
        <w:tab w:val="center" w:pos="4153" w:leader="none"/>
        <w:tab w:val="right" w:pos="8306" w:leader="none"/>
      </w:tabs>
    </w:pPr>
  </w:style>
  <w:style w:type="character" w:styleId="672" w:customStyle="1">
    <w:name w:val="Верхний колонтитул Знак"/>
    <w:basedOn w:val="668"/>
    <w:link w:val="67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latu_ka</cp:lastModifiedBy>
  <cp:revision>15</cp:revision>
  <dcterms:created xsi:type="dcterms:W3CDTF">2025-04-18T07:57:00Z</dcterms:created>
  <dcterms:modified xsi:type="dcterms:W3CDTF">2025-06-02T12:10:18Z</dcterms:modified>
</cp:coreProperties>
</file>