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Лаврихино</w:t>
            </w:r>
            <w:r>
              <w:rPr>
                <w:sz w:val="24"/>
                <w:szCs w:val="24"/>
                <w:u w:val="single"/>
              </w:rPr>
              <w:t xml:space="preserve">»</w:t>
            </w:r>
            <w:r>
              <w:rPr>
                <w:sz w:val="24"/>
                <w:szCs w:val="24"/>
              </w:rPr>
              <w:t xml:space="preserve"> №№ смежных кадастровых кварталов: </w:t>
            </w:r>
            <w:r>
              <w:rPr>
                <w:sz w:val="24"/>
                <w:szCs w:val="24"/>
                <w:u w:val="single"/>
              </w:rPr>
              <w:t xml:space="preserve">67:03:0030601; 67:03:003060</w:t>
            </w:r>
            <w:r>
              <w:rPr>
                <w:sz w:val="24"/>
                <w:szCs w:val="24"/>
                <w:u w:val="single"/>
              </w:rPr>
              <w:t xml:space="preserve">2</w:t>
            </w:r>
            <w:r>
              <w:rPr>
                <w:sz w:val="24"/>
                <w:szCs w:val="24"/>
                <w:u w:val="single"/>
              </w:rPr>
              <w:t xml:space="preserve">; 67:03:003060</w:t>
            </w:r>
            <w:r>
              <w:rPr>
                <w:sz w:val="24"/>
                <w:szCs w:val="24"/>
                <w:u w:val="single"/>
              </w:rPr>
              <w:t xml:space="preserve">3</w:t>
            </w:r>
            <w:r>
              <w:rPr>
                <w:sz w:val="24"/>
                <w:szCs w:val="24"/>
                <w:u w:val="single"/>
              </w:rPr>
              <w:t xml:space="preserve">; 67:03:003060</w:t>
            </w:r>
            <w:r>
              <w:rPr>
                <w:sz w:val="24"/>
                <w:szCs w:val="24"/>
                <w:u w:val="single"/>
              </w:rPr>
              <w:t xml:space="preserve">4</w:t>
            </w:r>
            <w:r>
              <w:rPr>
                <w:sz w:val="24"/>
                <w:szCs w:val="24"/>
                <w:u w:val="single"/>
              </w:rPr>
              <w:t xml:space="preserve">; </w:t>
            </w:r>
            <w:r>
              <w:rPr>
                <w:sz w:val="24"/>
                <w:szCs w:val="24"/>
                <w:u w:val="single"/>
              </w:rPr>
            </w:r>
            <w:r>
              <w:rPr>
                <w:sz w:val="24"/>
                <w:szCs w:val="24"/>
                <w:u w:val="single"/>
              </w:rPr>
            </w:r>
          </w:p>
          <w:p>
            <w:pPr>
              <w:pStyle w:val="616"/>
              <w:ind w:left="142" w:firstLine="54"/>
              <w:rPr>
                <w:sz w:val="24"/>
                <w:szCs w:val="24"/>
              </w:rPr>
            </w:pPr>
            <w:r>
              <w:rPr>
                <w:sz w:val="24"/>
                <w:szCs w:val="24"/>
              </w:rPr>
              <w:t xml:space="preserve">территория с/т «</w:t>
            </w:r>
            <w:r>
              <w:rPr>
                <w:sz w:val="24"/>
                <w:szCs w:val="24"/>
                <w:u w:val="single"/>
              </w:rPr>
              <w:t xml:space="preserve">Жулевское</w:t>
            </w:r>
            <w:r>
              <w:rPr>
                <w:sz w:val="24"/>
                <w:szCs w:val="24"/>
              </w:rPr>
              <w:t xml:space="preserve">» №№ смежных кадастровых кварталов</w:t>
            </w:r>
            <w:r>
              <w:rPr>
                <w:sz w:val="24"/>
                <w:szCs w:val="24"/>
              </w:rPr>
              <w:t xml:space="preserve">: 67:03:0030701; 67:03:0030702;</w:t>
            </w:r>
            <w:r>
              <w:rPr>
                <w:sz w:val="24"/>
                <w:szCs w:val="24"/>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Радуга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308</w:t>
            </w:r>
            <w:r>
              <w:rPr>
                <w:sz w:val="24"/>
                <w:szCs w:val="24"/>
                <w:u w:val="single"/>
              </w:rPr>
              <w:t xml:space="preserve">01;</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Ручеек</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408</w:t>
            </w:r>
            <w:r>
              <w:rPr>
                <w:sz w:val="24"/>
                <w:szCs w:val="24"/>
                <w:u w:val="single"/>
              </w:rPr>
              <w:t xml:space="preserve">01;</w:t>
            </w:r>
            <w:r>
              <w:rPr>
                <w:sz w:val="24"/>
                <w:szCs w:val="24"/>
                <w:u w:val="single"/>
              </w:rPr>
            </w:r>
          </w:p>
          <w:p>
            <w:pPr>
              <w:pStyle w:val="616"/>
              <w:ind w:left="142" w:firstLine="54"/>
              <w:rPr>
                <w:sz w:val="24"/>
                <w:szCs w:val="24"/>
                <w:u w:val="single"/>
              </w:rPr>
            </w:pPr>
            <w:r>
              <w:rPr>
                <w:sz w:val="24"/>
                <w:szCs w:val="24"/>
                <w:u w:val="single"/>
              </w:rPr>
              <w:t xml:space="preserve">территория с/т «</w:t>
            </w:r>
            <w:r>
              <w:rPr>
                <w:sz w:val="24"/>
                <w:szCs w:val="24"/>
                <w:u w:val="single"/>
              </w:rPr>
              <w:t xml:space="preserve">Клен</w:t>
            </w:r>
            <w:r>
              <w:rPr>
                <w:sz w:val="24"/>
                <w:szCs w:val="24"/>
                <w:u w:val="single"/>
              </w:rPr>
              <w:t xml:space="preserve">» № кадастрового квартала: 67:03:00</w:t>
            </w:r>
            <w:r>
              <w:rPr>
                <w:sz w:val="24"/>
                <w:szCs w:val="24"/>
                <w:u w:val="single"/>
              </w:rPr>
              <w:t xml:space="preserve">416</w:t>
            </w:r>
            <w:r>
              <w:rPr>
                <w:sz w:val="24"/>
                <w:szCs w:val="24"/>
                <w:u w:val="single"/>
              </w:rPr>
              <w:t xml:space="preserve">01;</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Панацея</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417</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Дружба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516</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Мелихово</w:t>
            </w:r>
            <w:r>
              <w:rPr>
                <w:sz w:val="24"/>
                <w:szCs w:val="24"/>
              </w:rPr>
              <w:t xml:space="preserve"> № кадастрового квартала:</w:t>
            </w:r>
            <w:r>
              <w:rPr>
                <w:sz w:val="24"/>
                <w:szCs w:val="24"/>
              </w:rPr>
              <w:t xml:space="preserve"> </w:t>
            </w:r>
            <w:r>
              <w:rPr>
                <w:sz w:val="24"/>
                <w:szCs w:val="24"/>
                <w:u w:val="single"/>
              </w:rPr>
              <w:t xml:space="preserve">67:03:0180101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Кичигино</w:t>
            </w:r>
            <w:r>
              <w:rPr>
                <w:sz w:val="24"/>
                <w:szCs w:val="24"/>
              </w:rPr>
              <w:t xml:space="preserve"> № кадастрового квартала:</w:t>
            </w:r>
            <w:r>
              <w:rPr>
                <w:sz w:val="24"/>
                <w:szCs w:val="24"/>
              </w:rPr>
              <w:t xml:space="preserve"> </w:t>
            </w:r>
            <w:r>
              <w:rPr>
                <w:sz w:val="24"/>
                <w:szCs w:val="24"/>
                <w:u w:val="single"/>
              </w:rPr>
              <w:t xml:space="preserve">67:03:0190101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Пырнево</w:t>
            </w:r>
            <w:r>
              <w:rPr>
                <w:sz w:val="24"/>
                <w:szCs w:val="24"/>
              </w:rPr>
              <w:t xml:space="preserve"> № кадастрового квартала:</w:t>
            </w:r>
            <w:r>
              <w:rPr>
                <w:sz w:val="24"/>
                <w:szCs w:val="24"/>
              </w:rPr>
              <w:t xml:space="preserve"> </w:t>
            </w:r>
            <w:r>
              <w:rPr>
                <w:sz w:val="24"/>
                <w:szCs w:val="24"/>
                <w:u w:val="single"/>
              </w:rPr>
              <w:t xml:space="preserve">67:03:0200101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Родоманово</w:t>
            </w:r>
            <w:r>
              <w:rPr>
                <w:sz w:val="24"/>
                <w:szCs w:val="24"/>
              </w:rPr>
              <w:t xml:space="preserve"> № кадастрового квартала:</w:t>
            </w:r>
            <w:r>
              <w:rPr>
                <w:sz w:val="24"/>
                <w:szCs w:val="24"/>
              </w:rPr>
              <w:t xml:space="preserve"> </w:t>
            </w:r>
            <w:r>
              <w:rPr>
                <w:sz w:val="24"/>
                <w:szCs w:val="24"/>
                <w:u w:val="single"/>
              </w:rPr>
              <w:t xml:space="preserve">67:03:0230101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Прохачево</w:t>
            </w:r>
            <w:r>
              <w:rPr>
                <w:sz w:val="24"/>
                <w:szCs w:val="24"/>
              </w:rPr>
              <w:t xml:space="preserve"> № кадастрового квартала:</w:t>
            </w:r>
            <w:r>
              <w:rPr>
                <w:sz w:val="24"/>
                <w:szCs w:val="24"/>
              </w:rPr>
              <w:t xml:space="preserve"> </w:t>
            </w:r>
            <w:r>
              <w:rPr>
                <w:sz w:val="24"/>
                <w:szCs w:val="24"/>
                <w:u w:val="single"/>
              </w:rPr>
              <w:t xml:space="preserve">67:03:0250101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Плеханово</w:t>
            </w:r>
            <w:r>
              <w:rPr>
                <w:sz w:val="24"/>
                <w:szCs w:val="24"/>
              </w:rPr>
              <w:t xml:space="preserve"> № кадастрового квартала:</w:t>
            </w:r>
            <w:r>
              <w:rPr>
                <w:sz w:val="24"/>
                <w:szCs w:val="24"/>
              </w:rPr>
              <w:t xml:space="preserve"> </w:t>
            </w:r>
            <w:r>
              <w:rPr>
                <w:sz w:val="24"/>
                <w:szCs w:val="24"/>
                <w:u w:val="single"/>
              </w:rPr>
              <w:t xml:space="preserve">67:03:0260101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Ашково</w:t>
            </w:r>
            <w:r>
              <w:rPr>
                <w:sz w:val="24"/>
                <w:szCs w:val="24"/>
              </w:rPr>
              <w:t xml:space="preserve"> № кадастрового квартала:</w:t>
            </w:r>
            <w:r>
              <w:rPr>
                <w:sz w:val="24"/>
                <w:szCs w:val="24"/>
              </w:rPr>
              <w:t xml:space="preserve"> </w:t>
            </w:r>
            <w:r>
              <w:rPr>
                <w:sz w:val="24"/>
                <w:szCs w:val="24"/>
                <w:u w:val="single"/>
              </w:rPr>
              <w:t xml:space="preserve">67:03:0270101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Шапкин</w:t>
            </w:r>
            <w:r>
              <w:rPr>
                <w:sz w:val="24"/>
                <w:szCs w:val="24"/>
                <w:u w:val="single"/>
              </w:rPr>
              <w:t xml:space="preserve">о</w:t>
            </w:r>
            <w:r>
              <w:rPr>
                <w:sz w:val="24"/>
                <w:szCs w:val="24"/>
              </w:rPr>
              <w:t xml:space="preserve"> № кадастрового квартала:</w:t>
            </w:r>
            <w:r>
              <w:rPr>
                <w:sz w:val="24"/>
                <w:szCs w:val="24"/>
              </w:rPr>
              <w:t xml:space="preserve"> </w:t>
            </w:r>
            <w:r>
              <w:rPr>
                <w:sz w:val="24"/>
                <w:szCs w:val="24"/>
                <w:u w:val="single"/>
              </w:rPr>
              <w:t xml:space="preserve">67:03:157</w:t>
            </w:r>
            <w:r>
              <w:rPr>
                <w:sz w:val="24"/>
                <w:szCs w:val="24"/>
                <w:u w:val="single"/>
              </w:rPr>
              <w:t xml:space="preserve">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М</w:t>
            </w:r>
            <w:r>
              <w:rPr>
                <w:sz w:val="24"/>
                <w:szCs w:val="24"/>
                <w:u w:val="single"/>
              </w:rPr>
              <w:t xml:space="preserve">аксимовка</w:t>
            </w:r>
            <w:r>
              <w:rPr>
                <w:sz w:val="24"/>
                <w:szCs w:val="24"/>
              </w:rPr>
              <w:t xml:space="preserve"> № кадастрового квартала:</w:t>
            </w:r>
            <w:r>
              <w:rPr>
                <w:sz w:val="24"/>
                <w:szCs w:val="24"/>
              </w:rPr>
              <w:t xml:space="preserve"> </w:t>
            </w:r>
            <w:r>
              <w:rPr>
                <w:sz w:val="24"/>
                <w:szCs w:val="24"/>
                <w:u w:val="single"/>
              </w:rPr>
              <w:t xml:space="preserve">67:03:15</w:t>
            </w:r>
            <w:r>
              <w:rPr>
                <w:sz w:val="24"/>
                <w:szCs w:val="24"/>
                <w:u w:val="single"/>
              </w:rPr>
              <w:t xml:space="preserve">80101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w:t>
            </w:r>
            <w:r>
              <w:rPr>
                <w:sz w:val="24"/>
                <w:szCs w:val="24"/>
                <w:u w:val="single"/>
              </w:rPr>
              <w:t xml:space="preserve">Металлист</w:t>
            </w:r>
            <w:r>
              <w:rPr>
                <w:sz w:val="24"/>
                <w:szCs w:val="24"/>
                <w:u w:val="single"/>
              </w:rPr>
              <w:t xml:space="preserve">» </w:t>
            </w:r>
            <w:r>
              <w:rPr>
                <w:sz w:val="24"/>
                <w:szCs w:val="24"/>
              </w:rPr>
              <w:t xml:space="preserve">№ кадастрового квартала:</w:t>
            </w:r>
            <w:r>
              <w:rPr>
                <w:sz w:val="24"/>
                <w:szCs w:val="24"/>
              </w:rPr>
              <w:t xml:space="preserve"> </w:t>
            </w:r>
            <w:r>
              <w:rPr>
                <w:sz w:val="24"/>
                <w:szCs w:val="24"/>
                <w:u w:val="single"/>
              </w:rPr>
              <w:t xml:space="preserve">67:03:0010144</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w:t>
            </w:r>
            <w:r>
              <w:rPr>
                <w:sz w:val="24"/>
                <w:szCs w:val="24"/>
                <w:u w:val="single"/>
              </w:rPr>
              <w:t xml:space="preserve">Металлист</w:t>
            </w:r>
            <w:r>
              <w:rPr>
                <w:sz w:val="24"/>
                <w:szCs w:val="24"/>
                <w:u w:val="single"/>
              </w:rPr>
              <w:t xml:space="preserve">-2» </w:t>
            </w:r>
            <w:r>
              <w:rPr>
                <w:sz w:val="24"/>
                <w:szCs w:val="24"/>
              </w:rPr>
              <w:t xml:space="preserve">№ кадастрового квартала:</w:t>
            </w:r>
            <w:r>
              <w:rPr>
                <w:sz w:val="24"/>
                <w:szCs w:val="24"/>
              </w:rPr>
              <w:t xml:space="preserve"> </w:t>
            </w:r>
            <w:r>
              <w:rPr>
                <w:sz w:val="24"/>
                <w:szCs w:val="24"/>
                <w:u w:val="single"/>
              </w:rPr>
              <w:t xml:space="preserve">67:03:0010145</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w:t>
            </w:r>
            <w:r>
              <w:rPr>
                <w:sz w:val="24"/>
                <w:szCs w:val="24"/>
                <w:u w:val="single"/>
              </w:rPr>
              <w:t xml:space="preserve"> </w:t>
            </w:r>
            <w:r>
              <w:rPr>
                <w:sz w:val="24"/>
                <w:szCs w:val="24"/>
                <w:u w:val="single"/>
              </w:rPr>
              <w:t xml:space="preserve">67:03:0030601</w:t>
            </w:r>
            <w:r>
              <w:rPr>
                <w:sz w:val="24"/>
                <w:szCs w:val="24"/>
                <w:u w:val="single"/>
              </w:rPr>
              <w:t xml:space="preserve">; </w:t>
            </w:r>
            <w:r>
              <w:rPr>
                <w:sz w:val="24"/>
                <w:szCs w:val="24"/>
                <w:u w:val="single"/>
              </w:rPr>
              <w:t xml:space="preserve">67:03:0030602</w:t>
            </w:r>
            <w:r>
              <w:rPr>
                <w:sz w:val="24"/>
                <w:szCs w:val="24"/>
                <w:u w:val="single"/>
              </w:rPr>
              <w:t xml:space="preserve">; </w:t>
            </w:r>
            <w:r>
              <w:rPr>
                <w:sz w:val="24"/>
                <w:szCs w:val="24"/>
                <w:u w:val="single"/>
              </w:rPr>
              <w:t xml:space="preserve">67:03:0030603</w:t>
            </w:r>
            <w:r>
              <w:rPr>
                <w:sz w:val="24"/>
                <w:szCs w:val="24"/>
                <w:u w:val="single"/>
              </w:rPr>
              <w:t xml:space="preserve">; </w:t>
            </w:r>
            <w:r>
              <w:rPr>
                <w:sz w:val="24"/>
                <w:szCs w:val="24"/>
                <w:u w:val="single"/>
              </w:rPr>
              <w:t xml:space="preserve">67:03:0030604</w:t>
            </w:r>
            <w:r>
              <w:rPr>
                <w:sz w:val="24"/>
                <w:szCs w:val="24"/>
                <w:u w:val="single"/>
              </w:rPr>
              <w:t xml:space="preserve">; </w:t>
            </w:r>
            <w:r>
              <w:rPr>
                <w:sz w:val="24"/>
                <w:szCs w:val="24"/>
                <w:u w:val="single"/>
              </w:rPr>
              <w:t xml:space="preserve">67:03:0030701</w:t>
            </w:r>
            <w:r>
              <w:rPr>
                <w:sz w:val="24"/>
                <w:szCs w:val="24"/>
                <w:u w:val="single"/>
              </w:rPr>
              <w:t xml:space="preserve">; </w:t>
            </w:r>
            <w:r>
              <w:rPr>
                <w:sz w:val="24"/>
                <w:szCs w:val="24"/>
                <w:u w:val="single"/>
              </w:rPr>
              <w:t xml:space="preserve">67:03:0030702</w:t>
            </w:r>
            <w:r>
              <w:rPr>
                <w:sz w:val="24"/>
                <w:szCs w:val="24"/>
                <w:u w:val="single"/>
              </w:rPr>
              <w:t xml:space="preserve">; </w:t>
            </w:r>
            <w:r>
              <w:rPr>
                <w:sz w:val="24"/>
                <w:szCs w:val="24"/>
                <w:u w:val="single"/>
              </w:rPr>
              <w:t xml:space="preserve">67:03:0030801</w:t>
            </w:r>
            <w:r>
              <w:rPr>
                <w:sz w:val="24"/>
                <w:szCs w:val="24"/>
                <w:u w:val="single"/>
              </w:rPr>
              <w:t xml:space="preserve">; </w:t>
            </w:r>
            <w:r>
              <w:rPr>
                <w:sz w:val="24"/>
                <w:szCs w:val="24"/>
                <w:u w:val="single"/>
              </w:rPr>
              <w:t xml:space="preserve">67:03:0040801</w:t>
            </w:r>
            <w:r>
              <w:rPr>
                <w:sz w:val="24"/>
                <w:szCs w:val="24"/>
                <w:u w:val="single"/>
              </w:rPr>
              <w:t xml:space="preserve">; </w:t>
            </w:r>
            <w:r>
              <w:rPr>
                <w:sz w:val="24"/>
                <w:szCs w:val="24"/>
                <w:u w:val="single"/>
              </w:rPr>
              <w:t xml:space="preserve">67:03:0041601</w:t>
            </w:r>
            <w:r>
              <w:rPr>
                <w:sz w:val="24"/>
                <w:szCs w:val="24"/>
                <w:u w:val="single"/>
              </w:rPr>
              <w:t xml:space="preserve">; </w:t>
            </w:r>
            <w:r>
              <w:rPr>
                <w:sz w:val="24"/>
                <w:szCs w:val="24"/>
                <w:u w:val="single"/>
              </w:rPr>
              <w:t xml:space="preserve">67:03:0041701</w:t>
            </w:r>
            <w:r>
              <w:rPr>
                <w:sz w:val="24"/>
                <w:szCs w:val="24"/>
                <w:u w:val="single"/>
              </w:rPr>
              <w:t xml:space="preserve">; </w:t>
            </w:r>
            <w:r>
              <w:rPr>
                <w:sz w:val="24"/>
                <w:szCs w:val="24"/>
                <w:u w:val="single"/>
              </w:rPr>
              <w:t xml:space="preserve">67:03:0051601</w:t>
            </w:r>
            <w:r>
              <w:rPr>
                <w:sz w:val="24"/>
                <w:szCs w:val="24"/>
                <w:u w:val="single"/>
              </w:rPr>
              <w:t xml:space="preserve">; </w:t>
            </w:r>
            <w:r>
              <w:rPr>
                <w:sz w:val="24"/>
                <w:szCs w:val="24"/>
                <w:u w:val="single"/>
              </w:rPr>
              <w:t xml:space="preserve">67:03:0180101</w:t>
            </w:r>
            <w:r>
              <w:rPr>
                <w:sz w:val="24"/>
                <w:szCs w:val="24"/>
                <w:u w:val="single"/>
              </w:rPr>
              <w:t xml:space="preserve">; </w:t>
            </w:r>
            <w:r>
              <w:rPr>
                <w:sz w:val="24"/>
                <w:szCs w:val="24"/>
                <w:u w:val="single"/>
              </w:rPr>
              <w:t xml:space="preserve">67:03:0190101</w:t>
            </w:r>
            <w:r>
              <w:rPr>
                <w:sz w:val="24"/>
                <w:szCs w:val="24"/>
                <w:u w:val="single"/>
              </w:rPr>
              <w:t xml:space="preserve">; </w:t>
            </w:r>
            <w:r>
              <w:rPr>
                <w:sz w:val="24"/>
                <w:szCs w:val="24"/>
                <w:u w:val="single"/>
              </w:rPr>
              <w:t xml:space="preserve">67:03:0200101</w:t>
            </w:r>
            <w:r>
              <w:rPr>
                <w:sz w:val="24"/>
                <w:szCs w:val="24"/>
                <w:u w:val="single"/>
              </w:rPr>
              <w:t xml:space="preserve">; </w:t>
            </w:r>
            <w:r>
              <w:rPr>
                <w:sz w:val="24"/>
                <w:szCs w:val="24"/>
                <w:u w:val="single"/>
              </w:rPr>
              <w:t xml:space="preserve">67:03:0230101</w:t>
            </w:r>
            <w:r>
              <w:rPr>
                <w:sz w:val="24"/>
                <w:szCs w:val="24"/>
                <w:u w:val="single"/>
              </w:rPr>
              <w:t xml:space="preserve">; </w:t>
            </w:r>
            <w:r>
              <w:rPr>
                <w:sz w:val="24"/>
                <w:szCs w:val="24"/>
                <w:u w:val="single"/>
              </w:rPr>
              <w:t xml:space="preserve">67:03:0250101</w:t>
            </w:r>
            <w:r>
              <w:rPr>
                <w:sz w:val="24"/>
                <w:szCs w:val="24"/>
                <w:u w:val="single"/>
              </w:rPr>
              <w:t xml:space="preserve">; </w:t>
            </w:r>
            <w:r>
              <w:rPr>
                <w:sz w:val="24"/>
                <w:szCs w:val="24"/>
                <w:u w:val="single"/>
              </w:rPr>
              <w:t xml:space="preserve">67:03:0260101</w:t>
            </w:r>
            <w:r>
              <w:rPr>
                <w:sz w:val="24"/>
                <w:szCs w:val="24"/>
                <w:u w:val="single"/>
              </w:rPr>
              <w:t xml:space="preserve">; </w:t>
            </w:r>
            <w:r>
              <w:rPr>
                <w:sz w:val="24"/>
                <w:szCs w:val="24"/>
                <w:u w:val="single"/>
              </w:rPr>
              <w:t xml:space="preserve">67:03:0270101</w:t>
            </w:r>
            <w:r>
              <w:rPr>
                <w:sz w:val="24"/>
                <w:szCs w:val="24"/>
                <w:u w:val="single"/>
              </w:rPr>
              <w:t xml:space="preserve">; 67:03:157</w:t>
            </w:r>
            <w:r>
              <w:rPr>
                <w:sz w:val="24"/>
                <w:szCs w:val="24"/>
                <w:u w:val="single"/>
              </w:rPr>
              <w:t xml:space="preserve">0101</w:t>
            </w:r>
            <w:r>
              <w:rPr>
                <w:sz w:val="24"/>
                <w:szCs w:val="24"/>
                <w:u w:val="single"/>
              </w:rPr>
              <w:t xml:space="preserve">; 67:03:158</w:t>
            </w:r>
            <w:r>
              <w:rPr>
                <w:sz w:val="24"/>
                <w:szCs w:val="24"/>
                <w:u w:val="single"/>
              </w:rPr>
              <w:t xml:space="preserve">0101</w:t>
            </w:r>
            <w:r>
              <w:rPr>
                <w:sz w:val="24"/>
                <w:szCs w:val="24"/>
                <w:u w:val="single"/>
              </w:rPr>
              <w:t xml:space="preserve">; </w:t>
            </w:r>
            <w:r>
              <w:rPr>
                <w:sz w:val="24"/>
                <w:szCs w:val="24"/>
                <w:u w:val="single"/>
              </w:rPr>
              <w:t xml:space="preserve">67:03:0010144</w:t>
            </w:r>
            <w:r>
              <w:rPr>
                <w:sz w:val="24"/>
                <w:szCs w:val="24"/>
                <w:u w:val="single"/>
              </w:rPr>
              <w:t xml:space="preserve">; </w:t>
            </w:r>
            <w:r>
              <w:rPr>
                <w:sz w:val="24"/>
                <w:szCs w:val="24"/>
                <w:u w:val="single"/>
              </w:rPr>
              <w:t xml:space="preserve">67:03:0010145</w:t>
            </w:r>
            <w:r>
              <w:rPr>
                <w:sz w:val="24"/>
                <w:szCs w:val="24"/>
                <w:u w:val="single"/>
              </w:rPr>
              <w:t xml:space="preserve">;</w:t>
            </w:r>
            <w:r>
              <w:rPr>
                <w:sz w:val="24"/>
                <w:szCs w:val="24"/>
                <w:u w:val="single"/>
              </w:rPr>
              <w:t xml:space="preserve">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07</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12</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06</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08</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6433" w:default="1">
    <w:name w:val="Default Paragraph Font"/>
    <w:uiPriority w:val="1"/>
    <w:semiHidden/>
    <w:unhideWhenUsed/>
  </w:style>
  <w:style w:type="numbering" w:styleId="6434" w:default="1">
    <w:name w:val="No List"/>
    <w:uiPriority w:val="99"/>
    <w:semiHidden/>
    <w:unhideWhenUsed/>
  </w:style>
  <w:style w:type="table" w:styleId="64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2025-07-21T11:52:00Z</dcterms:created>
  <dcterms:modified xsi:type="dcterms:W3CDTF">2025-07-22T09:57:51Z</dcterms:modified>
  <cp:version>786432</cp:version>
</cp:coreProperties>
</file>