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tbl>
      <w:tblPr>
        <w:tblW w:w="510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36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(наименование уполномоченного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исполнительного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органа Смоленской области по вопросам государственной собственности Смоленской области)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физически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 лиц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в т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ом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ч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исле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индивидуальны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предпринимател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ей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(Ф.И.О.,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(адрес регистрации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юридических лиц: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(полное наименование юридического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 руководителя)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(почтовый адрес)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ОГРН 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ИНН 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в аренду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</w:t>
      </w:r>
      <w:r>
        <w:rPr>
          <w:rFonts w:ascii="Times New Roman" w:hAnsi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/>
          <w:b/>
          <w:bCs/>
          <w:sz w:val="24"/>
          <w:szCs w:val="24"/>
        </w:rPr>
        <w:t xml:space="preserve">, находяще</w:t>
      </w:r>
      <w:r>
        <w:rPr>
          <w:rFonts w:ascii="Times New Roman" w:hAnsi="Times New Roman"/>
          <w:b/>
          <w:bCs/>
          <w:sz w:val="24"/>
          <w:szCs w:val="24"/>
        </w:rPr>
        <w:t xml:space="preserve">гося</w:t>
      </w:r>
      <w:r>
        <w:rPr>
          <w:rFonts w:ascii="Times New Roman" w:hAnsi="Times New Roman"/>
          <w:b/>
          <w:bCs/>
          <w:sz w:val="24"/>
          <w:szCs w:val="24"/>
        </w:rPr>
        <w:t xml:space="preserve"> в                                                                        государственной собственности Смоленской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составляющего </w:t>
      </w:r>
      <w:r>
        <w:rPr>
          <w:rFonts w:ascii="Times New Roman" w:hAnsi="Times New Roman"/>
          <w:b/>
          <w:bCs/>
          <w:sz w:val="24"/>
          <w:szCs w:val="24"/>
        </w:rPr>
        <w:t xml:space="preserve">государственную </w:t>
      </w:r>
      <w:r>
        <w:rPr>
          <w:rFonts w:ascii="Times New Roman" w:hAnsi="Times New Roman"/>
          <w:b/>
          <w:bCs/>
          <w:sz w:val="24"/>
          <w:szCs w:val="24"/>
        </w:rPr>
        <w:t xml:space="preserve">казну Смоленской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предоставить в аренду </w:t>
      </w:r>
      <w:r>
        <w:rPr>
          <w:rFonts w:ascii="Times New Roman" w:hAnsi="Times New Roman"/>
          <w:sz w:val="24"/>
          <w:szCs w:val="24"/>
        </w:rPr>
        <w:t xml:space="preserve">имуществ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, находяще</w:t>
      </w:r>
      <w:r>
        <w:rPr>
          <w:rFonts w:ascii="Times New Roman" w:hAnsi="Times New Roman"/>
          <w:sz w:val="24"/>
          <w:szCs w:val="24"/>
        </w:rPr>
        <w:t xml:space="preserve">еся</w:t>
      </w:r>
      <w:r>
        <w:rPr>
          <w:rFonts w:ascii="Times New Roman" w:hAnsi="Times New Roman"/>
          <w:sz w:val="24"/>
          <w:szCs w:val="24"/>
        </w:rPr>
        <w:t xml:space="preserve"> в государственной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собственности Смоленской области</w:t>
      </w:r>
      <w:r>
        <w:rPr>
          <w:rFonts w:ascii="Times New Roman" w:hAnsi="Times New Roman"/>
          <w:bCs/>
          <w:sz w:val="24"/>
          <w:szCs w:val="24"/>
        </w:rPr>
        <w:t xml:space="preserve">, составляющ</w:t>
      </w:r>
      <w:r>
        <w:rPr>
          <w:rFonts w:ascii="Times New Roman" w:hAnsi="Times New Roman"/>
          <w:bCs/>
          <w:sz w:val="24"/>
          <w:szCs w:val="24"/>
        </w:rPr>
        <w:t xml:space="preserve">ее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государственную </w:t>
      </w:r>
      <w:r>
        <w:rPr>
          <w:rFonts w:ascii="Times New Roman" w:hAnsi="Times New Roman"/>
          <w:bCs/>
          <w:sz w:val="24"/>
          <w:szCs w:val="24"/>
        </w:rPr>
        <w:t xml:space="preserve">казну Смоленской области: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  <w:t xml:space="preserve">_,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(наименование, характеристики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расположенн</w:t>
      </w:r>
      <w:r>
        <w:rPr>
          <w:rFonts w:ascii="Times New Roman" w:hAnsi="Times New Roman"/>
          <w:sz w:val="24"/>
          <w:szCs w:val="24"/>
        </w:rPr>
        <w:t xml:space="preserve">ое</w:t>
      </w:r>
      <w:r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адресу:_____________________________________________________________,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использования </w:t>
      </w:r>
      <w:r>
        <w:rPr>
          <w:rFonts w:ascii="Times New Roman" w:hAnsi="Times New Roman"/>
          <w:bCs/>
          <w:sz w:val="24"/>
          <w:szCs w:val="24"/>
        </w:rPr>
        <w:t xml:space="preserve">в целях_______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(</w:t>
      </w:r>
      <w:r>
        <w:rPr>
          <w:rFonts w:ascii="Times New Roman" w:hAnsi="Times New Roman"/>
          <w:bCs/>
          <w:sz w:val="20"/>
          <w:szCs w:val="20"/>
        </w:rPr>
        <w:t xml:space="preserve">для индивидуальных предпринимателей и юридических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лиц также </w:t>
      </w:r>
      <w:r>
        <w:rPr>
          <w:rFonts w:ascii="Times New Roman" w:hAnsi="Times New Roman"/>
          <w:bCs/>
          <w:sz w:val="20"/>
          <w:szCs w:val="20"/>
        </w:rPr>
        <w:t xml:space="preserve">указывается </w:t>
      </w:r>
      <w:r>
        <w:rPr>
          <w:rFonts w:ascii="Times New Roman" w:hAnsi="Times New Roman"/>
          <w:sz w:val="20"/>
          <w:szCs w:val="20"/>
        </w:rPr>
        <w:t xml:space="preserve">вид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деятельности в соответствии с кодом ОКВЭД при его наличии)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сроком на____________________________________________________________________________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(период предоставления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 в аренду)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проведения торгов 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основание предоставления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 без проведения торгов в соответствии 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_______________________________, </w:t>
      </w:r>
      <w:r>
        <w:rPr>
          <w:rFonts w:ascii="Times New Roman" w:hAnsi="Times New Roman"/>
          <w:sz w:val="20"/>
          <w:szCs w:val="20"/>
        </w:rPr>
        <w:t xml:space="preserve">с частью 1 статьи 17</w:t>
      </w:r>
      <w:r>
        <w:rPr>
          <w:rFonts w:ascii="Times New Roman" w:hAnsi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/>
          <w:sz w:val="20"/>
          <w:szCs w:val="20"/>
        </w:rPr>
        <w:t xml:space="preserve">, стать</w:t>
      </w:r>
      <w:r>
        <w:rPr>
          <w:rFonts w:ascii="Times New Roman" w:hAnsi="Times New Roman"/>
          <w:sz w:val="20"/>
          <w:szCs w:val="20"/>
        </w:rPr>
        <w:t xml:space="preserve">ей</w:t>
      </w:r>
      <w:r>
        <w:rPr>
          <w:rFonts w:ascii="Times New Roman" w:hAnsi="Times New Roman"/>
          <w:sz w:val="20"/>
          <w:szCs w:val="20"/>
        </w:rPr>
        <w:t xml:space="preserve"> 19 Федерального закона «О защите конкуренции»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проведения торгов (нужное подчеркнуть).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  соответствии   с  требованиями  Федерального  </w:t>
      </w:r>
      <w:hyperlink r:id="rId11" w:tooltip="consultantplus://offline/ref=BB86E3E2333DE8FB0475DBB40813B1536C8036C72555D8B564A064EC40r1Q1O" w:history="1">
        <w:r>
          <w:rPr>
            <w:rFonts w:ascii="Times New Roman" w:hAnsi="Times New Roman"/>
            <w:sz w:val="24"/>
          </w:rPr>
          <w:t xml:space="preserve">закона</w:t>
        </w:r>
      </w:hyperlink>
      <w:r>
        <w:rPr>
          <w:rFonts w:ascii="Times New Roman" w:hAnsi="Times New Roman"/>
          <w:sz w:val="24"/>
          <w:szCs w:val="24"/>
        </w:rPr>
        <w:t xml:space="preserve"> «О  персональных  данных»  даю согласие на сбор, системати</w:t>
      </w:r>
      <w:r>
        <w:rPr>
          <w:rFonts w:ascii="Times New Roman" w:hAnsi="Times New Roman"/>
          <w:sz w:val="24"/>
          <w:szCs w:val="24"/>
        </w:rPr>
        <w:t xml:space="preserve">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 Настоящее согласие дано мною бессрочно (для </w:t>
      </w:r>
      <w:r>
        <w:rPr>
          <w:rFonts w:ascii="Times New Roman" w:hAnsi="Times New Roman"/>
          <w:bCs/>
          <w:sz w:val="24"/>
          <w:szCs w:val="24"/>
        </w:rPr>
        <w:t xml:space="preserve">индивидуальных предпринимателей, физических лиц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настоящему заявлению п</w:t>
      </w:r>
      <w:r>
        <w:rPr>
          <w:rFonts w:ascii="Times New Roman" w:hAnsi="Times New Roman"/>
          <w:sz w:val="24"/>
          <w:szCs w:val="24"/>
        </w:rPr>
        <w:t xml:space="preserve">рилага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тся: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Заявитель:</w:t>
      </w:r>
      <w:r>
        <w:rPr>
          <w:rFonts w:ascii="Times New Roman" w:hAnsi="Times New Roman"/>
          <w:sz w:val="18"/>
          <w:szCs w:val="18"/>
        </w:rPr>
        <w:t xml:space="preserve"> ________________________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«______» ______________ 20___ г.</w:t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(Ф.И.О., подпись) </w:t>
      </w:r>
      <w:r>
        <w:rPr>
          <w:rFonts w:ascii="Times New Roman" w:hAnsi="Times New Roman"/>
          <w:sz w:val="18"/>
          <w:szCs w:val="18"/>
        </w:rPr>
      </w:r>
    </w:p>
    <w:p>
      <w:r/>
      <w:r/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continuous"/>
      <w:pgSz w:w="11906" w:h="16838" w:orient="portrait"/>
      <w:pgMar w:top="1134" w:right="567" w:bottom="1134" w:left="1134" w:header="567" w:footer="0" w:gutter="0"/>
      <w:pgNumType w:start="9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9079363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2"/>
    <w:uiPriority w:val="99"/>
  </w:style>
  <w:style w:type="character" w:styleId="45">
    <w:name w:val="Footer Char"/>
    <w:basedOn w:val="689"/>
    <w:link w:val="70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8">
    <w:name w:val="Heading 2"/>
    <w:basedOn w:val="687"/>
    <w:next w:val="687"/>
    <w:link w:val="692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2 Знак"/>
    <w:basedOn w:val="689"/>
    <w:link w:val="688"/>
    <w:uiPriority w:val="9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93" w:customStyle="1">
    <w:name w:val="ConsPlusNormal"/>
    <w:link w:val="706"/>
    <w:uiPriority w:val="99"/>
    <w:pPr>
      <w:widowControl w:val="off"/>
    </w:pPr>
    <w:rPr>
      <w:rFonts w:ascii="Arial" w:hAnsi="Arial"/>
      <w:sz w:val="22"/>
      <w:szCs w:val="22"/>
    </w:rPr>
  </w:style>
  <w:style w:type="paragraph" w:styleId="69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69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696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697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698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699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700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701" w:customStyle="1">
    <w:name w:val="ConsPlusTextList1"/>
    <w:uiPriority w:val="99"/>
    <w:pPr>
      <w:widowControl w:val="off"/>
    </w:pPr>
    <w:rPr>
      <w:rFonts w:ascii="Arial" w:hAnsi="Arial" w:cs="Arial"/>
    </w:rPr>
  </w:style>
  <w:style w:type="paragraph" w:styleId="702">
    <w:name w:val="Header"/>
    <w:basedOn w:val="687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89"/>
    <w:link w:val="702"/>
    <w:uiPriority w:val="99"/>
    <w:rPr>
      <w:rFonts w:cs="Times New Roman"/>
    </w:rPr>
  </w:style>
  <w:style w:type="paragraph" w:styleId="704">
    <w:name w:val="Footer"/>
    <w:basedOn w:val="687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9"/>
    <w:link w:val="704"/>
    <w:uiPriority w:val="99"/>
    <w:rPr>
      <w:rFonts w:cs="Times New Roman"/>
    </w:rPr>
  </w:style>
  <w:style w:type="character" w:styleId="706" w:customStyle="1">
    <w:name w:val="ConsPlusNormal Знак"/>
    <w:link w:val="693"/>
    <w:uiPriority w:val="99"/>
    <w:rPr>
      <w:rFonts w:ascii="Arial" w:hAnsi="Arial"/>
      <w:sz w:val="22"/>
      <w:szCs w:val="22"/>
      <w:lang w:val="ru-RU" w:eastAsia="ru-RU" w:bidi="ar-SA"/>
    </w:rPr>
  </w:style>
  <w:style w:type="paragraph" w:styleId="707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8">
    <w:name w:val="Hyperlink"/>
    <w:basedOn w:val="689"/>
    <w:uiPriority w:val="99"/>
    <w:unhideWhenUsed/>
    <w:rPr>
      <w:rFonts w:cs="Times New Roman"/>
      <w:color w:val="0000ff"/>
      <w:u w:val="single"/>
    </w:rPr>
  </w:style>
  <w:style w:type="paragraph" w:styleId="709">
    <w:name w:val="Balloon Text"/>
    <w:basedOn w:val="687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89"/>
    <w:link w:val="70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B86E3E2333DE8FB0475DBB40813B1536C8036C72555D8B564A064EC40r1Q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B05F-9FDD-4306-AF3D-01BBA8E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4018.00.20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09.12.2008 N 678(ред. от 22.05.2013)"Об утверждении Положения о порядке сдачи в аренду объектов государственной собственности Смоленской области"</dc:title>
  <dc:creator>Mozgovaya_SS1</dc:creator>
  <cp:revision>5</cp:revision>
  <dcterms:created xsi:type="dcterms:W3CDTF">2023-10-23T08:46:00Z</dcterms:created>
  <dcterms:modified xsi:type="dcterms:W3CDTF">2025-03-20T07:40:46Z</dcterms:modified>
</cp:coreProperties>
</file>