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6602D7" w:rsidRPr="006602D7" w:rsidRDefault="00A07CF8" w:rsidP="006602D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02D7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6602D7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6602D7" w:rsidRPr="006602D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602D7" w:rsidRPr="006602D7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6602D7"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6602D7" w:rsidRPr="006602D7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6602D7" w:rsidRPr="006602D7">
        <w:rPr>
          <w:rFonts w:ascii="Times New Roman" w:hAnsi="Times New Roman" w:cs="Times New Roman"/>
          <w:sz w:val="28"/>
          <w:szCs w:val="28"/>
        </w:rPr>
        <w:t>с кадастровым номером 67:18:0050403:108 площадью 156 000 кв. метров, расположенного по адресу: Российская Федерация, Смоленская область, Смоленский район, южнее дер. Замятлино на расстоянии 800 м, с видом разрешенного использования - для сельскохозяйственного производства.</w:t>
      </w:r>
    </w:p>
    <w:p w:rsidR="006602D7" w:rsidRPr="006602D7" w:rsidRDefault="006602D7" w:rsidP="006602D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7">
        <w:rPr>
          <w:rFonts w:ascii="Times New Roman" w:hAnsi="Times New Roman" w:cs="Times New Roman"/>
          <w:sz w:val="28"/>
          <w:szCs w:val="28"/>
          <w:lang w:eastAsia="x-none"/>
        </w:rPr>
        <w:t>Н</w:t>
      </w:r>
      <w:r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>ачальная цена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 xml:space="preserve">63 599 </w:t>
      </w:r>
      <w:r w:rsidRPr="006602D7">
        <w:rPr>
          <w:rFonts w:ascii="Times New Roman" w:hAnsi="Times New Roman" w:cs="Times New Roman"/>
          <w:sz w:val="28"/>
          <w:szCs w:val="28"/>
          <w:shd w:val="clear" w:color="auto" w:fill="FFFFFF"/>
        </w:rPr>
        <w:t>(Шестьдесят три тысячи пятьсот девяносто девять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6602D7" w:rsidRPr="006602D7" w:rsidRDefault="006602D7" w:rsidP="006602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6602D7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 xml:space="preserve">19 080 </w:t>
      </w:r>
      <w:r w:rsidRPr="006602D7">
        <w:rPr>
          <w:rFonts w:ascii="Times New Roman" w:hAnsi="Times New Roman" w:cs="Times New Roman"/>
          <w:sz w:val="28"/>
          <w:szCs w:val="28"/>
          <w:shd w:val="clear" w:color="auto" w:fill="FFFFFF"/>
        </w:rPr>
        <w:t>(Девятнадцать тысяч восемьдесят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6602D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6602D7">
        <w:rPr>
          <w:rFonts w:ascii="Times New Roman" w:hAnsi="Times New Roman" w:cs="Times New Roman"/>
          <w:sz w:val="28"/>
          <w:szCs w:val="28"/>
          <w:lang w:eastAsia="x-none"/>
        </w:rPr>
        <w:t>ей.</w:t>
      </w:r>
    </w:p>
    <w:p w:rsidR="006602D7" w:rsidRPr="006602D7" w:rsidRDefault="006602D7" w:rsidP="006602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2D7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1 908 </w:t>
      </w:r>
      <w:r w:rsidRPr="006602D7">
        <w:rPr>
          <w:rFonts w:ascii="Times New Roman" w:hAnsi="Times New Roman" w:cs="Times New Roman"/>
          <w:sz w:val="28"/>
          <w:szCs w:val="28"/>
        </w:rPr>
        <w:t>(Одна тысяча девятьсот восемь) рублей.</w:t>
      </w:r>
    </w:p>
    <w:p w:rsidR="006602D7" w:rsidRPr="006602D7" w:rsidRDefault="006602D7" w:rsidP="006602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2D7">
        <w:rPr>
          <w:rFonts w:ascii="Times New Roman" w:hAnsi="Times New Roman" w:cs="Times New Roman"/>
          <w:bCs/>
          <w:sz w:val="28"/>
          <w:szCs w:val="28"/>
        </w:rPr>
        <w:lastRenderedPageBreak/>
        <w:t>Земельный участок имеет ограничения (обременения) права, предусмотренные статьями 56, 56</w:t>
      </w:r>
      <w:r w:rsidRPr="006602D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6602D7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6602D7" w:rsidRPr="006602D7" w:rsidRDefault="006602D7" w:rsidP="006602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2D7">
        <w:rPr>
          <w:rFonts w:ascii="Times New Roman" w:hAnsi="Times New Roman" w:cs="Times New Roman"/>
          <w:bCs/>
          <w:sz w:val="28"/>
          <w:szCs w:val="28"/>
        </w:rPr>
        <w:t>- придорожные полосы автомобильной дороги общего пользования федерального значения Р-120 Орел - Брянск - Смоленск - граница с Республикой Белоруссия на участках км 340+601 - км 365+600, км 373+400 - км 406+877 в границах Смоленского района Смоленской области (реестровый номер границы: 67:18-6.2312).</w:t>
      </w:r>
    </w:p>
    <w:bookmarkEnd w:id="0"/>
    <w:p w:rsidR="00F50C88" w:rsidRPr="009E3D2C" w:rsidRDefault="00F50C88" w:rsidP="006602D7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842E5E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 xml:space="preserve">ончания </w:t>
      </w:r>
      <w:r w:rsidR="0033361B">
        <w:rPr>
          <w:color w:val="000000"/>
          <w:sz w:val="28"/>
          <w:szCs w:val="28"/>
        </w:rPr>
        <w:lastRenderedPageBreak/>
        <w:t>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</w:t>
      </w:r>
      <w:r w:rsidRPr="00F50C88">
        <w:rPr>
          <w:color w:val="000000"/>
          <w:sz w:val="28"/>
          <w:szCs w:val="28"/>
        </w:rPr>
        <w:lastRenderedPageBreak/>
        <w:t>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lastRenderedPageBreak/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 xml:space="preserve">иона или об отказе в </w:t>
      </w:r>
      <w:r w:rsidR="000517D2">
        <w:rPr>
          <w:color w:val="000000"/>
          <w:sz w:val="28"/>
          <w:szCs w:val="28"/>
        </w:rPr>
        <w:lastRenderedPageBreak/>
        <w:t>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</w:t>
      </w:r>
      <w:r w:rsidRPr="000517D2">
        <w:rPr>
          <w:rFonts w:eastAsia="Calibri"/>
          <w:sz w:val="28"/>
          <w:szCs w:val="28"/>
        </w:rPr>
        <w:lastRenderedPageBreak/>
        <w:t>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5E" w:rsidRDefault="00842E5E">
      <w:pPr>
        <w:spacing w:after="0" w:line="240" w:lineRule="auto"/>
      </w:pPr>
      <w:r>
        <w:separator/>
      </w:r>
    </w:p>
  </w:endnote>
  <w:endnote w:type="continuationSeparator" w:id="0">
    <w:p w:rsidR="00842E5E" w:rsidRDefault="0084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5E" w:rsidRDefault="00842E5E">
      <w:pPr>
        <w:spacing w:after="0" w:line="240" w:lineRule="auto"/>
      </w:pPr>
      <w:r>
        <w:separator/>
      </w:r>
    </w:p>
  </w:footnote>
  <w:footnote w:type="continuationSeparator" w:id="0">
    <w:p w:rsidR="00842E5E" w:rsidRDefault="0084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02D7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42E5E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EF44E3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3E0D-86FF-47AC-83C8-53219246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6281</Words>
  <Characters>35804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2025-09-02T07:47:00Z</dcterms:created>
  <dcterms:modified xsi:type="dcterms:W3CDTF">2025-09-02T07:47:00Z</dcterms:modified>
</cp:coreProperties>
</file>